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26-82</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306</w:t>
      </w:r>
    </w:p>
    <w:p>
      <w:pPr>
        <w:spacing w:before="0" w:after="0" w:line="480"/>
        <w:ind w:left="120"/>
        <w:jc w:val="center"/>
      </w:pPr>
      <w:r>
        <w:rPr>
          <w:rFonts w:ascii="Times New Roman" w:hAnsi="Times New Roman"/>
          <w:b w:val="false"/>
          <w:i w:val="false"/>
          <w:color w:val="000000"/>
          <w:sz w:val="24"/>
        </w:rPr>
        <w:t>“Artist Professional Development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17A.7(3)</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15.106A(1)“m,” 15.436 and 15.467 and 2 CFR Part 200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9:15 to 9:30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306 and adopt a new chapter in lieu thereof. The current chapter describes the Operational Support Partnership Program for Major Arts Organizations, which provided financial support for general operational expenses of arts organizations and will be discontinued.</w:t>
      </w:r>
    </w:p>
    <w:p>
      <w:pPr>
        <w:spacing w:before="0" w:after="0" w:line="480"/>
        <w:ind w:left="120"/>
        <w:jc w:val="both"/>
      </w:pPr>
      <w:r>
        <w:rPr>
          <w:rFonts w:ascii="Times New Roman" w:hAnsi="Times New Roman"/>
          <w:b w:val="false"/>
          <w:i w:val="false"/>
          <w:color w:val="000000"/>
          <w:sz w:val="24"/>
        </w:rPr>
        <w:t>    The proposed new chapter is titled “Artist Professional Development Program.” The Artist Professional Development Program (program) will provide financial assistance to individual Iowa artists to advance their artistic practices and elevate the creative industry in Iowa. The new chapter implements the consolidation of arts appropriations and programs in 2025 Iowa Acts, House File 975. The legislation authorized creation of an Arts and Culture Enhancement Fund, which will be utilized for broad purposes related to the arts, including the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who apply and are approved for program grants will benefit from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who apply and are approved for program grants will benefit from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administer the program covered in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effect on State revenues. In addition to moneys available in the Arts and Culture Enhancement Fund established pursuant to Iowa Code section 15.436, funding from the National Endowment for the Arts may also be used for the purposes described in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306</w:t>
      </w:r>
    </w:p>
    <w:p>
      <w:pPr>
        <w:spacing w:before="0" w:after="0" w:line="480"/>
        <w:ind w:left="120"/>
        <w:jc w:val="center"/>
      </w:pPr>
      <w:r>
        <w:rPr>
          <w:rFonts w:ascii="Times New Roman" w:hAnsi="Times New Roman"/>
          <w:b w:val="false"/>
          <w:i w:val="false"/>
          <w:color w:val="000000"/>
          <w:sz w:val="21"/>
        </w:rPr>
        <w:t>ARTIST PROFESSIONAL DEVELOPMENT PROGRAM</w:t>
      </w:r>
    </w:p>
    <w:p>
      <w:pPr>
        <w:spacing w:before="210" w:after="0" w:line="480"/>
        <w:ind w:left="120"/>
        <w:jc w:val="both"/>
      </w:pPr>
      <w:r>
        <w:rPr>
          <w:rFonts w:ascii="Times New Roman" w:hAnsi="Times New Roman"/>
          <w:b/>
          <w:i w:val="false"/>
          <w:color w:val="000000"/>
          <w:sz w:val="24"/>
        </w:rPr>
        <w:t>261—306.1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artist professional development program (program) provides financial support to individual Iowa artists to undertake activities that advance the artists’ artistic practices and elevate the creative industry in Iowa.</w:t>
      </w:r>
    </w:p>
    <w:p>
      <w:pPr>
        <w:spacing w:before="210" w:after="0" w:line="480"/>
        <w:ind w:left="120"/>
        <w:jc w:val="both"/>
      </w:pPr>
      <w:r>
        <w:rPr>
          <w:rFonts w:ascii="Times New Roman" w:hAnsi="Times New Roman"/>
          <w:b/>
          <w:i w:val="false"/>
          <w:color w:val="000000"/>
          <w:sz w:val="24"/>
        </w:rPr>
        <w:t>261—306.2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6">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apply to this chapter.</w:t>
      </w:r>
    </w:p>
    <w:p>
      <w:pPr>
        <w:spacing w:before="210" w:after="0" w:line="480"/>
        <w:ind w:left="120"/>
        <w:jc w:val="both"/>
      </w:pPr>
      <w:r>
        <w:rPr>
          <w:rFonts w:ascii="Times New Roman" w:hAnsi="Times New Roman"/>
          <w:b/>
          <w:i w:val="false"/>
          <w:color w:val="000000"/>
          <w:sz w:val="24"/>
        </w:rPr>
        <w:t>261—306.3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 xml:space="preserve">To be eligible for program funding, an applicant must meet the definition of “artist” in rule </w:t>
      </w:r>
      <w:hyperlink r:id="rId7">
        <w:r>
          <w:rPr>
            <w:rStyle w:val="Hyperlink"/>
            <w:rFonts w:ascii="Times New Roman" w:hAnsi="Times New Roman"/>
            <w:b w:val="false"/>
            <w:i w:val="false"/>
            <w:color w:val="000000"/>
            <w:sz w:val="24"/>
          </w:rPr>
          <w:t>261—305.1</w:t>
        </w:r>
      </w:hyperlink>
      <w:r>
        <w:rPr>
          <w:rFonts w:ascii="Times New Roman" w:hAnsi="Times New Roman"/>
          <w:b w:val="false"/>
          <w:i w:val="false"/>
          <w:color w:val="000000"/>
          <w:sz w:val="24"/>
        </w:rPr>
        <w:t xml:space="preserve">(15) by creating, practicing, or producing work as a visual or performing artist, filmmaker, musician, or creative writer and must otherwise meet the requirements of rule </w:t>
      </w:r>
      <w:hyperlink r:id="rId8">
        <w:r>
          <w:rPr>
            <w:rStyle w:val="Hyperlink"/>
            <w:rFonts w:ascii="Times New Roman" w:hAnsi="Times New Roman"/>
            <w:b w:val="false"/>
            <w:i w:val="false"/>
            <w:color w:val="000000"/>
            <w:sz w:val="24"/>
          </w:rPr>
          <w:t>261—305.5</w:t>
        </w:r>
      </w:hyperlink>
      <w:r>
        <w:rPr>
          <w:rFonts w:ascii="Times New Roman" w:hAnsi="Times New Roman"/>
          <w:b w:val="false"/>
          <w:i w:val="false"/>
          <w:color w:val="000000"/>
          <w:sz w:val="24"/>
        </w:rPr>
        <w:t>(15).</w:t>
      </w:r>
    </w:p>
    <w:p>
      <w:pPr>
        <w:spacing w:before="210" w:after="0" w:line="480"/>
        <w:ind w:left="120"/>
        <w:jc w:val="both"/>
      </w:pPr>
      <w:r>
        <w:rPr>
          <w:rFonts w:ascii="Times New Roman" w:hAnsi="Times New Roman"/>
          <w:b/>
          <w:i w:val="false"/>
          <w:color w:val="000000"/>
          <w:sz w:val="24"/>
        </w:rPr>
        <w:t>261—306.4</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projects. </w:t>
      </w:r>
      <w:r>
        <w:rPr>
          <w:rFonts w:ascii="Times New Roman" w:hAnsi="Times New Roman"/>
          <w:b w:val="false"/>
          <w:i w:val="false"/>
          <w:color w:val="000000"/>
          <w:sz w:val="24"/>
        </w:rPr>
        <w:t>Eligible projects are one-time professional development activities that advance applicants’ professional or artistic capacity, enhance their artistic practice, or allow them to learn new or more advanced techniques to support their artistic work. Types of eligible projects include participating in professional development conferences, workshops, courses, apprenticeships, and mentorships.</w:t>
      </w:r>
    </w:p>
    <w:p>
      <w:pPr>
        <w:spacing w:before="0" w:after="0" w:line="480"/>
        <w:ind w:left="120"/>
        <w:jc w:val="both"/>
      </w:pPr>
      <w:r>
        <w:rPr>
          <w:rFonts w:ascii="Times New Roman" w:hAnsi="Times New Roman"/>
          <w:b/>
          <w:i w:val="false"/>
          <w:color w:val="000000"/>
          <w:sz w:val="24"/>
        </w:rPr>
        <w:t>261—306.5</w:t>
      </w:r>
      <w:r>
        <w:rPr>
          <w:rFonts w:ascii="Times New Roman" w:hAnsi="Times New Roman"/>
          <w:b/>
          <w:i w:val="false"/>
          <w:color w:val="000000"/>
          <w:sz w:val="24"/>
        </w:rPr>
        <w:t xml:space="preserve">(15) </w:t>
      </w:r>
      <w:r>
        <w:rPr>
          <w:rFonts w:ascii="Times New Roman" w:hAnsi="Times New Roman"/>
          <w:b/>
          <w:i w:val="false"/>
          <w:color w:val="000000"/>
          <w:sz w:val="24"/>
        </w:rPr>
        <w:t xml:space="preserve">Ineligible projects. </w:t>
      </w:r>
      <w:r>
        <w:rPr>
          <w:rFonts w:ascii="Times New Roman" w:hAnsi="Times New Roman"/>
          <w:b w:val="false"/>
          <w:i w:val="false"/>
          <w:color w:val="000000"/>
          <w:sz w:val="24"/>
        </w:rPr>
        <w:t xml:space="preserve">Projects that fall outside the scope of rule </w:t>
      </w:r>
      <w:hyperlink r:id="rId9">
        <w:r>
          <w:rPr>
            <w:rStyle w:val="Hyperlink"/>
            <w:rFonts w:ascii="Times New Roman" w:hAnsi="Times New Roman"/>
            <w:b w:val="false"/>
            <w:i w:val="false"/>
            <w:color w:val="000000"/>
            <w:sz w:val="24"/>
          </w:rPr>
          <w:t>261—306.4</w:t>
        </w:r>
      </w:hyperlink>
      <w:r>
        <w:rPr>
          <w:rFonts w:ascii="Times New Roman" w:hAnsi="Times New Roman"/>
          <w:b w:val="false"/>
          <w:i w:val="false"/>
          <w:color w:val="000000"/>
          <w:sz w:val="24"/>
        </w:rPr>
        <w:t>(15) or can be categorized as follows are ineligible: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Initiated by, managed by, or that benefit an entity or organization with which the applicant has a formal affiliation such as employment or volunteer service.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 in the applicant receiving course credit, a degree, or certification.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Involve fundraising activities, including benefit events.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0">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15.467</w:t>
        </w:r>
      </w:hyperlink>
      <w:r>
        <w:rPr>
          <w:rFonts w:ascii="Times New Roman" w:hAnsi="Times New Roman"/>
          <w:b w:val="false"/>
          <w:i w:val="false"/>
          <w:color w:val="000000"/>
          <w:sz w:val="24"/>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Mode="External" Target="https://www.legis.iowa.gov/docs/iac/chapter/261.305.pdf" Type="http://schemas.openxmlformats.org/officeDocument/2006/relationships/hyperlink" Id="rId6"/>
    <Relationship TargetMode="External" Target="https://www.legis.iowa.gov/docs/iac/rule/261.305.1.pdf" Type="http://schemas.openxmlformats.org/officeDocument/2006/relationships/hyperlink" Id="rId7"/>
    <Relationship TargetMode="External" Target="https://www.legis.iowa.gov/docs/iac/rule/261.305.5.pdf" Type="http://schemas.openxmlformats.org/officeDocument/2006/relationships/hyperlink" Id="rId8"/>
    <Relationship TargetMode="External" Target="https://www.legis.iowa.gov/docs/iac/rule/261.306.4.pdf" Type="http://schemas.openxmlformats.org/officeDocument/2006/relationships/hyperlink" Id="rId9"/>
    <Relationship TargetMode="External" Target="https://www.legis.iowa.gov/docs/ico/chapter/15.436.pdf" Type="http://schemas.openxmlformats.org/officeDocument/2006/relationships/hyperlink" Id="rId10"/>
    <Relationship TargetMode="External" Target="https://www.legis.iowa.gov/docs/ico/chapter/15.46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